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260"/>
        <w:jc w:val="left"/>
      </w:pPr>
      <w:bookmarkStart w:id="0" w:name="_GoBack"/>
      <w:bookmarkEnd w:id="0"/>
      <w:r>
        <w:rPr>
          <w:color w:val="000000"/>
          <w:spacing w:val="0"/>
          <w:w w:val="100"/>
          <w:position w:val="0"/>
        </w:rPr>
        <w:t>附件:</w:t>
      </w:r>
    </w:p>
    <w:tbl>
      <w:tblPr>
        <w:tblStyle w:val="2"/>
        <w:tblpPr w:leftFromText="180" w:rightFromText="180" w:vertAnchor="page" w:horzAnchor="page" w:tblpX="1962" w:tblpY="2970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1577"/>
        <w:gridCol w:w="1672"/>
        <w:gridCol w:w="2648"/>
        <w:gridCol w:w="2513"/>
        <w:gridCol w:w="2407"/>
        <w:gridCol w:w="17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0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普法类型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普法对象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普法内容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（普及的法律法规）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 w:firstLineChars="40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 w:firstLineChars="40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载体阵地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普法方式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20" w:firstLineChars="100"/>
              <w:jc w:val="center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20" w:firstLineChars="10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普法时间节点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5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系统内普法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中心组学法、干部职工。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《习近平法治思想纲要》《宪法》《国家安全法》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《民法典》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院内微信群、微信公众号、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LED滚动屏、宣传册等。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中心组学习、党支部学习、科室政治学习等。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全年持续开展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43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国家安全、卫生健康等相关法律法规。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医院全体职工、相关工作人员。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《国家安全法》《基本医疗卫生与健康促进法》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《中华人民共和国医师法》《职业病防治法》《疫苗管理法》《艾滋病防治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条例》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文字材料、院内微信群、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LED滚动屏等。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学习、培训、会议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全年持续开展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9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3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社会面普法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ind w:left="107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  <w:t>青少年、社区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 w:eastAsia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  <w:t>（农村）群众员工等社会大众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《基本医疗卫生与健康 促进法》《中华人民共和国医师法》《职业病防治法》《疫苗管理法》《艾滋病防治条例》《中华人民共和国残疾人保障法》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before="187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  <w:t>网站、宣传册（折页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  <w:t>宣传栏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LED滚动屏等。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专题培训、法治讲座等。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全年持续开展</w:t>
            </w:r>
          </w:p>
        </w:tc>
      </w:tr>
    </w:tbl>
    <w:p>
      <w:pPr>
        <w:rPr>
          <w:rFonts w:hint="eastAsia" w:eastAsia="宋体"/>
          <w:sz w:val="44"/>
          <w:szCs w:val="44"/>
          <w:lang w:val="en-US" w:eastAsia="zh-CN"/>
        </w:rPr>
        <w:sectPr>
          <w:footnotePr>
            <w:numFmt w:val="decimal"/>
          </w:footnotePr>
          <w:pgSz w:w="16840" w:h="11900" w:orient="landscape"/>
          <w:pgMar w:top="1349" w:right="1153" w:bottom="1349" w:left="1148" w:header="921" w:footer="921" w:gutter="0"/>
          <w:cols w:space="720" w:num="1"/>
          <w:rtlGutter w:val="0"/>
          <w:docGrid w:linePitch="360" w:charSpace="0"/>
        </w:sectPr>
      </w:pPr>
      <w:r>
        <w:rPr>
          <w:rFonts w:hint="eastAsia" w:eastAsia="宋体"/>
          <w:lang w:val="en-US" w:eastAsia="zh-CN"/>
        </w:rPr>
        <w:t xml:space="preserve">      </w:t>
      </w:r>
      <w:r>
        <w:rPr>
          <w:rFonts w:hint="eastAsia" w:eastAsia="宋体"/>
          <w:b/>
          <w:bCs/>
          <w:sz w:val="44"/>
          <w:szCs w:val="44"/>
          <w:lang w:val="en-US" w:eastAsia="zh-CN"/>
        </w:rPr>
        <w:t xml:space="preserve"> 福建省福州神经精神病防治院2022年“谁执法谁普法”责任清单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A6C04"/>
    <w:rsid w:val="0DC15721"/>
    <w:rsid w:val="21E34DEA"/>
    <w:rsid w:val="26661674"/>
    <w:rsid w:val="29435167"/>
    <w:rsid w:val="29E77D09"/>
    <w:rsid w:val="2AAE1D16"/>
    <w:rsid w:val="4ADA6C04"/>
    <w:rsid w:val="65071ED7"/>
    <w:rsid w:val="79D3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600" w:line="45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68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07" w:lineRule="exac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405</Words>
  <Characters>414</Characters>
  <Lines>0</Lines>
  <Paragraphs>0</Paragraphs>
  <TotalTime>8</TotalTime>
  <ScaleCrop>false</ScaleCrop>
  <LinksUpToDate>false</LinksUpToDate>
  <CharactersWithSpaces>422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2021-04-09T00:55:00Z</dcterms:created>
  <dc:creator>刘俊</dc:creator>
  <cp:lastModifiedBy>刘俊</cp:lastModifiedBy>
  <dcterms:modified xsi:type="dcterms:W3CDTF">2022-12-21T06:55:34Z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AAE512EE85E341B3B8ECA6CDFFE95AD5</vt:lpwstr>
  </property>
</Properties>
</file>